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390" w:type="dxa"/>
        <w:tblInd w:w="108" w:type="dxa"/>
        <w:tblLook w:val="04A0" w:firstRow="1" w:lastRow="0" w:firstColumn="1" w:lastColumn="0" w:noHBand="0" w:noVBand="1"/>
      </w:tblPr>
      <w:tblGrid>
        <w:gridCol w:w="2220"/>
        <w:gridCol w:w="1471"/>
        <w:gridCol w:w="1240"/>
        <w:gridCol w:w="1240"/>
        <w:gridCol w:w="1240"/>
        <w:gridCol w:w="1240"/>
        <w:gridCol w:w="1240"/>
        <w:gridCol w:w="1240"/>
        <w:gridCol w:w="4259"/>
      </w:tblGrid>
      <w:tr w:rsidR="00C34626" w:rsidRPr="00C34626" w:rsidTr="00C34626">
        <w:trPr>
          <w:trHeight w:val="360"/>
        </w:trPr>
        <w:tc>
          <w:tcPr>
            <w:tcW w:w="15390" w:type="dxa"/>
            <w:gridSpan w:val="9"/>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b/>
                <w:bCs/>
                <w:color w:val="000000"/>
                <w:sz w:val="28"/>
                <w:szCs w:val="28"/>
              </w:rPr>
            </w:pPr>
            <w:bookmarkStart w:id="0" w:name="_GoBack"/>
            <w:bookmarkEnd w:id="0"/>
            <w:r w:rsidRPr="00C34626">
              <w:rPr>
                <w:rFonts w:ascii="Arial" w:eastAsia="Times New Roman" w:hAnsi="Arial" w:cs="Arial"/>
                <w:b/>
                <w:bCs/>
                <w:color w:val="000000"/>
                <w:sz w:val="28"/>
                <w:szCs w:val="28"/>
              </w:rPr>
              <w:t>BIDDERS COMPANY LETTER HEAD</w:t>
            </w:r>
          </w:p>
        </w:tc>
      </w:tr>
      <w:tr w:rsidR="00C34626" w:rsidRPr="00C34626" w:rsidTr="00C34626">
        <w:trPr>
          <w:trHeight w:val="300"/>
        </w:trPr>
        <w:tc>
          <w:tcPr>
            <w:tcW w:w="222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4259"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r>
      <w:tr w:rsidR="00C34626" w:rsidRPr="00C34626" w:rsidTr="00C34626">
        <w:trPr>
          <w:trHeight w:val="240"/>
        </w:trPr>
        <w:tc>
          <w:tcPr>
            <w:tcW w:w="222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4259"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r>
      <w:tr w:rsidR="00C34626" w:rsidRPr="00C34626" w:rsidTr="00C34626">
        <w:trPr>
          <w:trHeight w:val="600"/>
        </w:trPr>
        <w:tc>
          <w:tcPr>
            <w:tcW w:w="15390" w:type="dxa"/>
            <w:gridSpan w:val="9"/>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b/>
                <w:bCs/>
                <w:color w:val="000000"/>
              </w:rPr>
            </w:pPr>
            <w:r w:rsidRPr="00C34626">
              <w:rPr>
                <w:rFonts w:ascii="Arial" w:eastAsia="Times New Roman" w:hAnsi="Arial" w:cs="Arial"/>
                <w:b/>
                <w:bCs/>
                <w:color w:val="000000"/>
              </w:rPr>
              <w:t>TERMS OF REFERENCE (TOR)</w:t>
            </w:r>
          </w:p>
        </w:tc>
      </w:tr>
      <w:tr w:rsidR="00C34626" w:rsidRPr="00C34626" w:rsidTr="00C34626">
        <w:trPr>
          <w:trHeight w:val="240"/>
        </w:trPr>
        <w:tc>
          <w:tcPr>
            <w:tcW w:w="222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4259"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r>
      <w:tr w:rsidR="00C34626" w:rsidRPr="00C34626" w:rsidTr="00C34626">
        <w:trPr>
          <w:trHeight w:val="240"/>
        </w:trPr>
        <w:tc>
          <w:tcPr>
            <w:tcW w:w="2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LOT NO. / REQUIREMENTS</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LOT NO. 4</w:t>
            </w:r>
          </w:p>
        </w:tc>
        <w:tc>
          <w:tcPr>
            <w:tcW w:w="42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r w:rsidRPr="00C34626">
              <w:rPr>
                <w:rFonts w:ascii="Arial" w:eastAsia="Times New Roman" w:hAnsi="Arial" w:cs="Arial"/>
                <w:b/>
                <w:bCs/>
                <w:color w:val="000000"/>
                <w:sz w:val="20"/>
                <w:szCs w:val="20"/>
              </w:rPr>
              <w:t>BIDDER'S COMPLIANCE REMARKS/ATTACHMENTS</w:t>
            </w:r>
          </w:p>
        </w:tc>
      </w:tr>
      <w:tr w:rsidR="00C34626" w:rsidRPr="00C34626" w:rsidTr="00C34626">
        <w:trPr>
          <w:trHeight w:val="240"/>
        </w:trPr>
        <w:tc>
          <w:tcPr>
            <w:tcW w:w="2220" w:type="dxa"/>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Embedded</w:t>
            </w:r>
          </w:p>
        </w:tc>
        <w:tc>
          <w:tcPr>
            <w:tcW w:w="4259" w:type="dxa"/>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    Agreement Type</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Power Supply Agreement (PSA)</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2.    Type of Contract</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Intermediate - Firmed</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48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3.    Source of Power</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Renewable Energy (Qualified as RPS )</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40"/>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4.    Contracted Capacity</w:t>
            </w: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Year</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ILECO 1</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Total</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2023</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2024</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2026</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2027</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2028</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2029</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2030</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2031</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2032</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5</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40"/>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5.    Contracted Energy</w:t>
            </w: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Year</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TOTAL</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TOTAL</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2023</w:t>
            </w:r>
          </w:p>
        </w:tc>
        <w:tc>
          <w:tcPr>
            <w:tcW w:w="1240" w:type="dxa"/>
            <w:tcBorders>
              <w:top w:val="nil"/>
              <w:left w:val="nil"/>
              <w:bottom w:val="single" w:sz="4" w:space="0" w:color="auto"/>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2024</w:t>
            </w:r>
          </w:p>
        </w:tc>
        <w:tc>
          <w:tcPr>
            <w:tcW w:w="1240" w:type="dxa"/>
            <w:tcBorders>
              <w:top w:val="nil"/>
              <w:left w:val="nil"/>
              <w:bottom w:val="single" w:sz="4" w:space="0" w:color="auto"/>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2025</w:t>
            </w:r>
          </w:p>
        </w:tc>
        <w:tc>
          <w:tcPr>
            <w:tcW w:w="1240" w:type="dxa"/>
            <w:tcBorders>
              <w:top w:val="nil"/>
              <w:left w:val="nil"/>
              <w:bottom w:val="single" w:sz="4" w:space="0" w:color="auto"/>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2026</w:t>
            </w:r>
          </w:p>
        </w:tc>
        <w:tc>
          <w:tcPr>
            <w:tcW w:w="1240" w:type="dxa"/>
            <w:tcBorders>
              <w:top w:val="nil"/>
              <w:left w:val="nil"/>
              <w:bottom w:val="single" w:sz="4" w:space="0" w:color="auto"/>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2027</w:t>
            </w:r>
          </w:p>
        </w:tc>
        <w:tc>
          <w:tcPr>
            <w:tcW w:w="1240" w:type="dxa"/>
            <w:tcBorders>
              <w:top w:val="nil"/>
              <w:left w:val="nil"/>
              <w:bottom w:val="single" w:sz="4" w:space="0" w:color="auto"/>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2028</w:t>
            </w:r>
          </w:p>
        </w:tc>
        <w:tc>
          <w:tcPr>
            <w:tcW w:w="1240" w:type="dxa"/>
            <w:tcBorders>
              <w:top w:val="nil"/>
              <w:left w:val="nil"/>
              <w:bottom w:val="single" w:sz="4" w:space="0" w:color="auto"/>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2029</w:t>
            </w:r>
          </w:p>
        </w:tc>
        <w:tc>
          <w:tcPr>
            <w:tcW w:w="1240" w:type="dxa"/>
            <w:tcBorders>
              <w:top w:val="nil"/>
              <w:left w:val="nil"/>
              <w:bottom w:val="single" w:sz="4" w:space="0" w:color="auto"/>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2030</w:t>
            </w:r>
          </w:p>
        </w:tc>
        <w:tc>
          <w:tcPr>
            <w:tcW w:w="1240" w:type="dxa"/>
            <w:tcBorders>
              <w:top w:val="nil"/>
              <w:left w:val="nil"/>
              <w:bottom w:val="single" w:sz="4" w:space="0" w:color="auto"/>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2031</w:t>
            </w:r>
          </w:p>
        </w:tc>
        <w:tc>
          <w:tcPr>
            <w:tcW w:w="1240" w:type="dxa"/>
            <w:tcBorders>
              <w:top w:val="nil"/>
              <w:left w:val="nil"/>
              <w:bottom w:val="single" w:sz="4" w:space="0" w:color="auto"/>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5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nil"/>
              <w:right w:val="single" w:sz="4" w:space="0" w:color="auto"/>
            </w:tcBorders>
            <w:shd w:val="clear" w:color="000000" w:fill="FFFFFF"/>
            <w:hideMark/>
          </w:tcPr>
          <w:p w:rsidR="00C34626" w:rsidRPr="00C34626" w:rsidRDefault="00C34626" w:rsidP="00C34626">
            <w:pPr>
              <w:spacing w:after="0" w:line="240" w:lineRule="auto"/>
              <w:jc w:val="center"/>
              <w:rPr>
                <w:rFonts w:ascii="Verdana" w:eastAsia="Times New Roman" w:hAnsi="Verdana" w:cs="Times New Roman"/>
                <w:color w:val="000000"/>
                <w:sz w:val="18"/>
                <w:szCs w:val="18"/>
              </w:rPr>
            </w:pPr>
            <w:r w:rsidRPr="00C34626">
              <w:rPr>
                <w:rFonts w:ascii="Verdana" w:eastAsia="Times New Roman" w:hAnsi="Verdana" w:cs="Times New Roman"/>
                <w:color w:val="000000"/>
                <w:sz w:val="18"/>
                <w:szCs w:val="18"/>
              </w:rPr>
              <w:t>2032</w:t>
            </w:r>
          </w:p>
        </w:tc>
        <w:tc>
          <w:tcPr>
            <w:tcW w:w="1240" w:type="dxa"/>
            <w:tcBorders>
              <w:top w:val="nil"/>
              <w:left w:val="nil"/>
              <w:bottom w:val="nil"/>
              <w:right w:val="nil"/>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 </w:t>
            </w:r>
          </w:p>
        </w:tc>
        <w:tc>
          <w:tcPr>
            <w:tcW w:w="1240" w:type="dxa"/>
            <w:tcBorders>
              <w:top w:val="nil"/>
              <w:left w:val="nil"/>
              <w:bottom w:val="single" w:sz="4" w:space="0" w:color="auto"/>
              <w:right w:val="single" w:sz="4" w:space="0" w:color="auto"/>
            </w:tcBorders>
            <w:shd w:val="clear" w:color="000000" w:fill="FFFFFF"/>
            <w:hideMark/>
          </w:tcPr>
          <w:p w:rsidR="00C34626" w:rsidRPr="00C34626" w:rsidRDefault="00C34626" w:rsidP="00C34626">
            <w:pPr>
              <w:spacing w:after="0" w:line="240" w:lineRule="auto"/>
              <w:jc w:val="center"/>
              <w:rPr>
                <w:rFonts w:ascii="Arial" w:eastAsia="Times New Roman" w:hAnsi="Arial" w:cs="Arial"/>
                <w:color w:val="000000"/>
                <w:sz w:val="20"/>
                <w:szCs w:val="20"/>
              </w:rPr>
            </w:pPr>
            <w:r w:rsidRPr="00C34626">
              <w:rPr>
                <w:rFonts w:ascii="Arial" w:eastAsia="Times New Roman" w:hAnsi="Arial" w:cs="Arial"/>
                <w:color w:val="000000"/>
                <w:sz w:val="20"/>
                <w:szCs w:val="20"/>
              </w:rPr>
              <w:t>14,600</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48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6.    Capacity Utilization Factor (CUF)</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At least 25% load factor</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7.    Dispatch Time</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0800H-1700H</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855"/>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lastRenderedPageBreak/>
              <w:t>8.    Dependable Capacity, MW</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available un-contracted and dependable/dispatchable capacity of the plant must be higher of the total</w:t>
            </w:r>
            <w:r w:rsidRPr="00C34626">
              <w:rPr>
                <w:rFonts w:ascii="Arial" w:eastAsia="Times New Roman" w:hAnsi="Arial" w:cs="Arial"/>
                <w:color w:val="000000"/>
                <w:sz w:val="18"/>
                <w:szCs w:val="18"/>
              </w:rPr>
              <w:br/>
              <w:t>requirement of the buyer.</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07"/>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9.    Plant Capacity</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plant details should provide the following</w:t>
            </w:r>
            <w:proofErr w:type="gramStart"/>
            <w:r w:rsidRPr="00C34626">
              <w:rPr>
                <w:rFonts w:ascii="Arial" w:eastAsia="Times New Roman" w:hAnsi="Arial" w:cs="Arial"/>
                <w:color w:val="000000"/>
                <w:sz w:val="18"/>
                <w:szCs w:val="18"/>
              </w:rPr>
              <w:t>:</w:t>
            </w:r>
            <w:proofErr w:type="gramEnd"/>
            <w:r w:rsidRPr="00C34626">
              <w:rPr>
                <w:rFonts w:ascii="Arial" w:eastAsia="Times New Roman" w:hAnsi="Arial" w:cs="Arial"/>
                <w:color w:val="000000"/>
                <w:sz w:val="18"/>
                <w:szCs w:val="18"/>
              </w:rPr>
              <w:br/>
              <w:t>• Total Installed Capacity</w:t>
            </w:r>
            <w:r w:rsidRPr="00C34626">
              <w:rPr>
                <w:rFonts w:ascii="Arial" w:eastAsia="Times New Roman" w:hAnsi="Arial" w:cs="Arial"/>
                <w:color w:val="000000"/>
                <w:sz w:val="18"/>
                <w:szCs w:val="18"/>
              </w:rPr>
              <w:br/>
              <w:t>• Number of generating units and installed capacity of each unit.</w:t>
            </w:r>
            <w:r w:rsidRPr="00C34626">
              <w:rPr>
                <w:rFonts w:ascii="Arial" w:eastAsia="Times New Roman" w:hAnsi="Arial" w:cs="Arial"/>
                <w:color w:val="000000"/>
                <w:sz w:val="18"/>
                <w:szCs w:val="18"/>
              </w:rPr>
              <w:br/>
              <w:t>• Dependable/dispatchable capacity Other parameters as may be applicable.</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07"/>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07"/>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07"/>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07"/>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07"/>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99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10.  Inter-connection Agreement</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Distribution Impact Study (DIS) is Feasible to interconnect to 13.2 kV Feeder Lines.</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525"/>
        </w:trPr>
        <w:tc>
          <w:tcPr>
            <w:tcW w:w="2220" w:type="dxa"/>
            <w:tcBorders>
              <w:top w:val="nil"/>
              <w:left w:val="single" w:sz="4" w:space="0" w:color="auto"/>
              <w:bottom w:val="nil"/>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11.  Contract Duration</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Seller shall supply the Contracted Capacity (CC) and its equivalent Contracted Energy (CE) to the Buyer as stated to item No. 4 (Contracted Capacity).</w:t>
            </w:r>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br/>
              <w:t>Buyer will secure their respective contract with the Seller base on the contracted capacity and contract period requirements.</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630"/>
        </w:trPr>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12.  Availability of Supply</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Seller shall ensure supply or cause the supply of the CC and CE by COD at the Delivery Points throughout the duration of the Cooperation Period.</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60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13.  Schedule of Delivery</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Based on the requirements as stated in item No. 4 Contracted Capacity. Confirmation of nomination is required from the Seller.</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615"/>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14.  Delivery point</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Delivery Points shall be at the 13.2kV side of the buyer as embedded supply.</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300"/>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 xml:space="preserve">15.  Tariff Structure </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24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1. The basis for the evaluation of generation cost will be on the yearly Fixed cost for the duration of contracted period.</w:t>
            </w:r>
            <w:r w:rsidRPr="00C34626">
              <w:rPr>
                <w:rFonts w:ascii="Arial" w:eastAsia="Times New Roman" w:hAnsi="Arial" w:cs="Arial"/>
                <w:color w:val="000000"/>
                <w:sz w:val="18"/>
                <w:szCs w:val="18"/>
              </w:rPr>
              <w:br/>
              <w:t>2. Tariff structure shall be broken down but not limited to the following</w:t>
            </w:r>
            <w:proofErr w:type="gramStart"/>
            <w:r w:rsidRPr="00C34626">
              <w:rPr>
                <w:rFonts w:ascii="Arial" w:eastAsia="Times New Roman" w:hAnsi="Arial" w:cs="Arial"/>
                <w:color w:val="000000"/>
                <w:sz w:val="18"/>
                <w:szCs w:val="18"/>
              </w:rPr>
              <w:t>:</w:t>
            </w:r>
            <w:proofErr w:type="gramEnd"/>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br/>
              <w:t>• Capacity Fee (Php/kW/month); • Fixed O&amp;M (Php/kW/month);</w:t>
            </w:r>
            <w:r w:rsidRPr="00C34626">
              <w:rPr>
                <w:rFonts w:ascii="Arial" w:eastAsia="Times New Roman" w:hAnsi="Arial" w:cs="Arial"/>
                <w:color w:val="000000"/>
                <w:sz w:val="18"/>
                <w:szCs w:val="18"/>
              </w:rPr>
              <w:br/>
              <w:t>• Variable O&amp;M (Php/kWh) No Take-or-Pay (Based on actual energy delivered);</w:t>
            </w:r>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br/>
              <w:t>3.  Additional information to consider in the preparation of generation cost</w:t>
            </w:r>
            <w:proofErr w:type="gramStart"/>
            <w:r w:rsidRPr="00C34626">
              <w:rPr>
                <w:rFonts w:ascii="Arial" w:eastAsia="Times New Roman" w:hAnsi="Arial" w:cs="Arial"/>
                <w:color w:val="000000"/>
                <w:sz w:val="18"/>
                <w:szCs w:val="18"/>
              </w:rPr>
              <w:t>:</w:t>
            </w:r>
            <w:proofErr w:type="gramEnd"/>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br/>
              <w:t>• Specify formula for base fee adjustment affected by factor such as CPI, FOREX &amp; Escalation due to fuel degradation &amp; others.</w:t>
            </w:r>
            <w:r w:rsidRPr="00C34626">
              <w:rPr>
                <w:rFonts w:ascii="Arial" w:eastAsia="Times New Roman" w:hAnsi="Arial" w:cs="Arial"/>
                <w:color w:val="000000"/>
                <w:sz w:val="18"/>
                <w:szCs w:val="18"/>
              </w:rPr>
              <w:br/>
              <w:t>• No indexation or escalation on Capital Recovery Fee (CRF).</w:t>
            </w:r>
            <w:r w:rsidRPr="00C34626">
              <w:rPr>
                <w:rFonts w:ascii="Arial" w:eastAsia="Times New Roman" w:hAnsi="Arial" w:cs="Arial"/>
                <w:color w:val="000000"/>
                <w:sz w:val="18"/>
                <w:szCs w:val="18"/>
              </w:rPr>
              <w:br/>
              <w:t>• Fixed O&amp;M fee shall be indexed on Philippine Peso.</w:t>
            </w:r>
            <w:r w:rsidRPr="00C34626">
              <w:rPr>
                <w:rFonts w:ascii="Arial" w:eastAsia="Times New Roman" w:hAnsi="Arial" w:cs="Arial"/>
                <w:color w:val="000000"/>
                <w:sz w:val="18"/>
                <w:szCs w:val="18"/>
              </w:rPr>
              <w:br/>
              <w:t>• Variable O&amp;M fee shall be indexed on FOREX and Philippine CPI.</w:t>
            </w:r>
            <w:r w:rsidRPr="00C34626">
              <w:rPr>
                <w:rFonts w:ascii="Arial" w:eastAsia="Times New Roman" w:hAnsi="Arial" w:cs="Arial"/>
                <w:color w:val="000000"/>
                <w:sz w:val="18"/>
                <w:szCs w:val="18"/>
              </w:rPr>
              <w:br/>
              <w:t>• For RE, CRF can be indexed to average FOREX during the construction period.</w:t>
            </w:r>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lastRenderedPageBreak/>
              <w:t xml:space="preserve">• Present levelized cost of electricity for the duration of the contract.                                                                       </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480"/>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16.  Outage Allowance</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The Power Plant shall be entitled to seven hundred twenty (720) hours (360 hours -Scheduled and 360 hours - Unscheduled) Outage (“Allowed Outage”).</w:t>
            </w:r>
            <w:r w:rsidRPr="00C34626">
              <w:rPr>
                <w:rFonts w:ascii="Arial" w:eastAsia="Times New Roman" w:hAnsi="Arial" w:cs="Arial"/>
                <w:color w:val="000000"/>
                <w:sz w:val="18"/>
                <w:szCs w:val="18"/>
              </w:rPr>
              <w:br/>
              <w:t>• The Allowed Outage shall be computed based on its full load energy or kWh equivalent per billing year.</w:t>
            </w:r>
            <w:r w:rsidRPr="00C34626">
              <w:rPr>
                <w:rFonts w:ascii="Arial" w:eastAsia="Times New Roman" w:hAnsi="Arial" w:cs="Arial"/>
                <w:color w:val="000000"/>
                <w:sz w:val="18"/>
                <w:szCs w:val="18"/>
              </w:rPr>
              <w:br/>
              <w:t>• At least 720 hours before any Allowed Outage, Seller shall nominate the number of hours for its Allowed Outages, which shall not exceed to 720 hours or equivalent kWh per billing year.</w:t>
            </w:r>
            <w:r w:rsidRPr="00C34626">
              <w:rPr>
                <w:rFonts w:ascii="Arial" w:eastAsia="Times New Roman" w:hAnsi="Arial" w:cs="Arial"/>
                <w:color w:val="000000"/>
                <w:sz w:val="18"/>
                <w:szCs w:val="18"/>
              </w:rPr>
              <w:br/>
              <w:t>• Any un-utilized allowed Scheduled and Unscheduled Outage allowance within a calendar year will not be accumulated for use during the succeeding years of the cooperation period.</w:t>
            </w:r>
            <w:r w:rsidRPr="00C34626">
              <w:rPr>
                <w:rFonts w:ascii="Arial" w:eastAsia="Times New Roman" w:hAnsi="Arial" w:cs="Arial"/>
                <w:color w:val="000000"/>
                <w:sz w:val="18"/>
                <w:szCs w:val="18"/>
              </w:rPr>
              <w:br/>
              <w:t>• Buyer’s maintenance allowance shall be computed as Maximum demand multiplied by 30 days and by 24 hours.</w:t>
            </w:r>
            <w:r w:rsidRPr="00C34626">
              <w:rPr>
                <w:rFonts w:ascii="Arial" w:eastAsia="Times New Roman" w:hAnsi="Arial" w:cs="Arial"/>
                <w:color w:val="000000"/>
                <w:sz w:val="18"/>
                <w:szCs w:val="18"/>
              </w:rPr>
              <w:br/>
              <w:t>• Scheduled outages shall be provided by the supplier as determined by the grid System Operator.</w:t>
            </w:r>
            <w:r w:rsidRPr="00C34626">
              <w:rPr>
                <w:rFonts w:ascii="Arial" w:eastAsia="Times New Roman" w:hAnsi="Arial" w:cs="Arial"/>
                <w:color w:val="000000"/>
                <w:sz w:val="18"/>
                <w:szCs w:val="18"/>
              </w:rPr>
              <w:br/>
              <w:t>• No crediting of Outage Allowance from scheduled to unscheduled and vice versa</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48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48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48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48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48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90"/>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17.  Replacement Power</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sz w:val="18"/>
                <w:szCs w:val="18"/>
              </w:rPr>
            </w:pPr>
            <w:r w:rsidRPr="00C34626">
              <w:rPr>
                <w:rFonts w:ascii="Arial" w:eastAsia="Times New Roman" w:hAnsi="Arial" w:cs="Arial"/>
                <w:sz w:val="18"/>
                <w:szCs w:val="18"/>
              </w:rPr>
              <w:t>• During Allowed Outage Seller shall have the right, but not the obligation, to provide the Replacement Power to the Buyer during Allowed Outage. For this purpose, Replacement Power during Allowed Outage shall be billed at Contract Rate, or WESM rates, whichever is applicable.</w:t>
            </w:r>
            <w:r w:rsidRPr="00C34626">
              <w:rPr>
                <w:rFonts w:ascii="Arial" w:eastAsia="Times New Roman" w:hAnsi="Arial" w:cs="Arial"/>
                <w:sz w:val="18"/>
                <w:szCs w:val="18"/>
              </w:rPr>
              <w:br/>
            </w:r>
            <w:r w:rsidRPr="00C34626">
              <w:rPr>
                <w:rFonts w:ascii="Arial" w:eastAsia="Times New Roman" w:hAnsi="Arial" w:cs="Arial"/>
                <w:sz w:val="18"/>
                <w:szCs w:val="18"/>
              </w:rPr>
              <w:br/>
              <w:t>• In Excess of Allowed Outage</w:t>
            </w:r>
            <w:r w:rsidRPr="00C34626">
              <w:rPr>
                <w:rFonts w:ascii="Arial" w:eastAsia="Times New Roman" w:hAnsi="Arial" w:cs="Arial"/>
                <w:sz w:val="18"/>
                <w:szCs w:val="18"/>
              </w:rPr>
              <w:br/>
              <w:t>In the event the Allowed Outage is exceeded, Seller shall supply or cause the supply to the Buyer Replacement Power at its own cost. However, the Buyer shall continue to pay the Seller for the Replacement Power at Contract Rate, or WESM rates, whichever is lower.</w:t>
            </w:r>
            <w:r w:rsidRPr="00C34626">
              <w:rPr>
                <w:rFonts w:ascii="Arial" w:eastAsia="Times New Roman" w:hAnsi="Arial" w:cs="Arial"/>
                <w:sz w:val="18"/>
                <w:szCs w:val="18"/>
              </w:rPr>
              <w:br/>
            </w:r>
            <w:r w:rsidRPr="00C34626">
              <w:rPr>
                <w:rFonts w:ascii="Arial" w:eastAsia="Times New Roman" w:hAnsi="Arial" w:cs="Arial"/>
                <w:sz w:val="18"/>
                <w:szCs w:val="18"/>
              </w:rPr>
              <w:br/>
              <w:t>• In Case of Force Majeure</w:t>
            </w:r>
            <w:r w:rsidRPr="00C34626">
              <w:rPr>
                <w:rFonts w:ascii="Arial" w:eastAsia="Times New Roman" w:hAnsi="Arial" w:cs="Arial"/>
                <w:sz w:val="18"/>
                <w:szCs w:val="18"/>
              </w:rPr>
              <w:br/>
              <w:t>In case of Force Majeure, Seller shall have the right, but not the obligation, to supply Replacement Power to the Buyer. For this purpose, the Seller shall bill the Buyer the Contract Rate, or WESM rates, whichever is applicable.</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r w:rsidRPr="00C34626">
              <w:rPr>
                <w:rFonts w:ascii="Arial" w:eastAsia="Times New Roman" w:hAnsi="Arial" w:cs="Arial"/>
                <w:b/>
                <w:bCs/>
                <w:color w:val="000000"/>
                <w:sz w:val="20"/>
                <w:szCs w:val="20"/>
              </w:rPr>
              <w:t>N/A</w:t>
            </w:r>
          </w:p>
        </w:tc>
      </w:tr>
      <w:tr w:rsidR="00C34626" w:rsidRPr="00C34626" w:rsidTr="00C34626">
        <w:trPr>
          <w:trHeight w:val="39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9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9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9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9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9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9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525"/>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18.  Force Majeure (FM)</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“Force Majeure” shall mean any circumstances beyond the reasonable control of a Party which effectively prevents such Party from performing its obligations hereunder. Force Majeure events may include without limitation:</w:t>
            </w:r>
            <w:r w:rsidRPr="00C34626">
              <w:rPr>
                <w:rFonts w:ascii="Arial" w:eastAsia="Times New Roman" w:hAnsi="Arial" w:cs="Arial"/>
                <w:color w:val="000000"/>
                <w:sz w:val="18"/>
                <w:szCs w:val="18"/>
              </w:rPr>
              <w:br/>
              <w:t>• Acts of God;</w:t>
            </w:r>
            <w:r w:rsidRPr="00C34626">
              <w:rPr>
                <w:rFonts w:ascii="Arial" w:eastAsia="Times New Roman" w:hAnsi="Arial" w:cs="Arial"/>
                <w:color w:val="000000"/>
                <w:sz w:val="18"/>
                <w:szCs w:val="18"/>
              </w:rPr>
              <w:br/>
              <w:t>• Acts of war or the public enemy, whether war be declared or not declared, invasion, armed conflict or act of foreign enemy, attacks by insurgents, acts of terrorism, blockade, embargo, revolution and public disorders, including insurrection, rebellion, civil commotion, sabotage, riots and violent demonstrations;</w:t>
            </w:r>
            <w:r w:rsidRPr="00C34626">
              <w:rPr>
                <w:rFonts w:ascii="Arial" w:eastAsia="Times New Roman" w:hAnsi="Arial" w:cs="Arial"/>
                <w:color w:val="000000"/>
                <w:sz w:val="18"/>
                <w:szCs w:val="18"/>
              </w:rPr>
              <w:br/>
              <w:t>• Floods, tidal waves, explosions, fires, earthquakes, typhoons and other natural calamities;</w:t>
            </w:r>
            <w:r w:rsidRPr="00C34626">
              <w:rPr>
                <w:rFonts w:ascii="Arial" w:eastAsia="Times New Roman" w:hAnsi="Arial" w:cs="Arial"/>
                <w:color w:val="000000"/>
                <w:sz w:val="18"/>
                <w:szCs w:val="18"/>
              </w:rPr>
              <w:br/>
              <w:t>• Issuances of executive order or government intervention (e.g. pandemic, closure, etc)</w:t>
            </w:r>
            <w:r w:rsidRPr="00C34626">
              <w:rPr>
                <w:rFonts w:ascii="Arial" w:eastAsia="Times New Roman" w:hAnsi="Arial" w:cs="Arial"/>
                <w:color w:val="000000"/>
                <w:sz w:val="18"/>
                <w:szCs w:val="18"/>
              </w:rPr>
              <w:br/>
              <w:t>• Grid outages</w:t>
            </w:r>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lastRenderedPageBreak/>
              <w:t>Distribution Utility and the Power Supplier shall jointly establish plans for operating the power plant during Force majeure. Such plans shall include recovery from a local or widespread electrical blackout. The Power Supplier shall comply with the Emergency procedures and provide contingency plan if a force majeure occurs.</w:t>
            </w:r>
            <w:r w:rsidRPr="00C34626">
              <w:rPr>
                <w:rFonts w:ascii="Arial" w:eastAsia="Times New Roman" w:hAnsi="Arial" w:cs="Arial"/>
                <w:color w:val="000000"/>
                <w:sz w:val="18"/>
                <w:szCs w:val="18"/>
              </w:rPr>
              <w:br/>
              <w:t>The Electric Cooperative shall not be required to make payments for any capacity that is undelivered/unutilized.</w:t>
            </w:r>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br/>
              <w:t>In case of Force Majeure event as indicated above, minimum energy off-take shall be suspended until the effect of FM ends. Actual consumption shall be pro-rated to all the buyer’s supplier.</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52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52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52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52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52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52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52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52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19.  RCOA Reduction</w:t>
            </w:r>
          </w:p>
        </w:tc>
        <w:tc>
          <w:tcPr>
            <w:tcW w:w="8911" w:type="dxa"/>
            <w:gridSpan w:val="7"/>
            <w:vMerge w:val="restart"/>
            <w:tcBorders>
              <w:top w:val="nil"/>
              <w:left w:val="nil"/>
              <w:bottom w:val="nil"/>
              <w:right w:val="single" w:sz="4" w:space="0" w:color="000000"/>
            </w:tcBorders>
            <w:shd w:val="clear" w:color="auto" w:fill="auto"/>
            <w:noWrap/>
            <w:vAlign w:val="bottom"/>
            <w:hideMark/>
          </w:tcPr>
          <w:p w:rsidR="00C34626" w:rsidRPr="00C34626" w:rsidRDefault="00C34626" w:rsidP="00C34626">
            <w:pPr>
              <w:spacing w:after="0" w:line="240" w:lineRule="auto"/>
              <w:rPr>
                <w:rFonts w:ascii="Calibri" w:eastAsia="Times New Roman" w:hAnsi="Calibri" w:cs="Times New Roman"/>
                <w:color w:val="000000"/>
              </w:rPr>
            </w:pPr>
            <w:r>
              <w:rPr>
                <w:rFonts w:ascii="Calibri" w:eastAsia="Times New Roman" w:hAnsi="Calibri" w:cs="Times New Roman"/>
                <w:noProof/>
                <w:color w:val="000000"/>
                <w:lang w:val="en-PH" w:eastAsia="en-PH"/>
              </w:rPr>
              <w:drawing>
                <wp:anchor distT="0" distB="0" distL="114300" distR="114300" simplePos="0" relativeHeight="251656704" behindDoc="0" locked="0" layoutInCell="1" allowOverlap="1">
                  <wp:simplePos x="0" y="0"/>
                  <wp:positionH relativeFrom="column">
                    <wp:posOffset>419100</wp:posOffset>
                  </wp:positionH>
                  <wp:positionV relativeFrom="paragraph">
                    <wp:posOffset>2257425</wp:posOffset>
                  </wp:positionV>
                  <wp:extent cx="1866900" cy="504825"/>
                  <wp:effectExtent l="0" t="0" r="0" b="0"/>
                  <wp:wrapNone/>
                  <wp:docPr id="6" name="Picture 2"/>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4" cstate="print"/>
                          <a:srcRect/>
                          <a:stretch>
                            <a:fillRect/>
                          </a:stretch>
                        </pic:blipFill>
                        <pic:spPr bwMode="auto">
                          <a:xfrm>
                            <a:off x="0" y="0"/>
                            <a:ext cx="1857375" cy="495300"/>
                          </a:xfrm>
                          <a:prstGeom prst="rect">
                            <a:avLst/>
                          </a:prstGeom>
                          <a:noFill/>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8680"/>
            </w:tblGrid>
            <w:tr w:rsidR="00C34626" w:rsidRPr="00C34626">
              <w:trPr>
                <w:trHeight w:val="207"/>
                <w:tblCellSpacing w:w="0" w:type="dxa"/>
              </w:trPr>
              <w:tc>
                <w:tcPr>
                  <w:tcW w:w="8680" w:type="dxa"/>
                  <w:vMerge w:val="restart"/>
                  <w:tcBorders>
                    <w:top w:val="single" w:sz="4" w:space="0" w:color="auto"/>
                    <w:left w:val="single" w:sz="4" w:space="0" w:color="auto"/>
                    <w:bottom w:val="nil"/>
                    <w:right w:val="single" w:sz="4" w:space="0" w:color="000000"/>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Buyer shall be entitled to a reduction in its Contracted Capacity and Contracted Energy as a result of the transfer of any of the Buyer’s captive customers to the contestable market.</w:t>
                  </w:r>
                  <w:r w:rsidRPr="00C34626">
                    <w:rPr>
                      <w:rFonts w:ascii="Arial" w:eastAsia="Times New Roman" w:hAnsi="Arial" w:cs="Arial"/>
                      <w:color w:val="000000"/>
                      <w:sz w:val="18"/>
                      <w:szCs w:val="18"/>
                    </w:rPr>
                    <w:br/>
                    <w:t>Scenario 1: If the Transferring Customer transfers to a Retail Electricity Supplier (RES) that is an Affiliate of the Seller, the Buyer shall be entitled to RCOA Reduction provided that:</w:t>
                  </w:r>
                  <w:r w:rsidRPr="00C34626">
                    <w:rPr>
                      <w:rFonts w:ascii="Arial" w:eastAsia="Times New Roman" w:hAnsi="Arial" w:cs="Arial"/>
                      <w:color w:val="000000"/>
                      <w:sz w:val="18"/>
                      <w:szCs w:val="18"/>
                    </w:rPr>
                    <w:br/>
                    <w:t>a) That the Transferring Customer was an existing captive customer of the Buyer prior to COD.</w:t>
                  </w:r>
                  <w:r w:rsidRPr="00C34626">
                    <w:rPr>
                      <w:rFonts w:ascii="Arial" w:eastAsia="Times New Roman" w:hAnsi="Arial" w:cs="Arial"/>
                      <w:color w:val="000000"/>
                      <w:sz w:val="18"/>
                      <w:szCs w:val="18"/>
                    </w:rPr>
                    <w:br/>
                    <w:t>b) Buyer’s RCOA Reduction quantity shall be equivalent to the average monthly demand of the Transferring Customer for the 12 months immediately preceding the switching date.</w:t>
                  </w:r>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br/>
                    <w:t>Scenario 2: If the Transferring Customer transfers to a RES that is not an Affiliate of the Seller and not an Affiliate of any of the Buyer’s power suppliers, Buyer shall be entitled to RCOA reduction provided that:</w:t>
                  </w:r>
                  <w:r w:rsidRPr="00C34626">
                    <w:rPr>
                      <w:rFonts w:ascii="Arial" w:eastAsia="Times New Roman" w:hAnsi="Arial" w:cs="Arial"/>
                      <w:color w:val="000000"/>
                      <w:sz w:val="18"/>
                      <w:szCs w:val="18"/>
                    </w:rPr>
                    <w:br/>
                    <w:t>a. The Transferring Customer was an existing captive customer of the Buyer prior to COD;</w:t>
                  </w:r>
                  <w:r w:rsidRPr="00C34626">
                    <w:rPr>
                      <w:rFonts w:ascii="Arial" w:eastAsia="Times New Roman" w:hAnsi="Arial" w:cs="Arial"/>
                      <w:color w:val="000000"/>
                      <w:sz w:val="18"/>
                      <w:szCs w:val="18"/>
                    </w:rPr>
                    <w:br/>
                    <w:t>b. The average monthly demand of the Transferring Customer for the 12 months immediately preceding the switching date</w:t>
                  </w:r>
                  <w:r w:rsidRPr="00C34626">
                    <w:rPr>
                      <w:rFonts w:ascii="Arial" w:eastAsia="Times New Roman" w:hAnsi="Arial" w:cs="Arial"/>
                      <w:color w:val="000000"/>
                      <w:sz w:val="18"/>
                      <w:szCs w:val="18"/>
                    </w:rPr>
                    <w:br/>
                    <w:t xml:space="preserve">c. Buyer’s RCOA Reduction quantity shall be computed using the following formula: Formula:  </w:t>
                  </w:r>
                </w:p>
              </w:tc>
            </w:tr>
            <w:tr w:rsidR="00C34626" w:rsidRPr="00C34626">
              <w:trPr>
                <w:trHeight w:val="207"/>
                <w:tblCellSpacing w:w="0" w:type="dxa"/>
              </w:trPr>
              <w:tc>
                <w:tcPr>
                  <w:tcW w:w="0" w:type="auto"/>
                  <w:vMerge/>
                  <w:tcBorders>
                    <w:top w:val="single" w:sz="4" w:space="0" w:color="auto"/>
                    <w:left w:val="single" w:sz="4" w:space="0" w:color="auto"/>
                    <w:bottom w:val="nil"/>
                    <w:right w:val="single" w:sz="4" w:space="0" w:color="000000"/>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r>
          </w:tbl>
          <w:p w:rsidR="00C34626" w:rsidRPr="00C34626" w:rsidRDefault="00C34626" w:rsidP="00C34626">
            <w:pPr>
              <w:spacing w:after="0" w:line="240" w:lineRule="auto"/>
              <w:rPr>
                <w:rFonts w:ascii="Calibri" w:eastAsia="Times New Roman" w:hAnsi="Calibri" w:cs="Times New Roman"/>
                <w:color w:val="000000"/>
              </w:rPr>
            </w:pP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r w:rsidRPr="00C34626">
              <w:rPr>
                <w:rFonts w:ascii="Arial" w:eastAsia="Times New Roman" w:hAnsi="Arial" w:cs="Arial"/>
                <w:b/>
                <w:bCs/>
                <w:color w:val="000000"/>
                <w:sz w:val="20"/>
                <w:szCs w:val="20"/>
              </w:rPr>
              <w:t>N/A</w:t>
            </w: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rsidR="00C34626" w:rsidRPr="00C34626" w:rsidRDefault="00C34626" w:rsidP="00C34626">
            <w:pPr>
              <w:spacing w:after="0" w:line="240" w:lineRule="auto"/>
              <w:rPr>
                <w:rFonts w:ascii="Calibri" w:eastAsia="Times New Roman" w:hAnsi="Calibri" w:cs="Times New Roman"/>
                <w:color w:val="000000"/>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nil"/>
              <w:bottom w:val="nil"/>
              <w:right w:val="nil"/>
            </w:tcBorders>
            <w:shd w:val="clear" w:color="auto" w:fill="auto"/>
            <w:noWrap/>
            <w:vAlign w:val="bottom"/>
            <w:hideMark/>
          </w:tcPr>
          <w:p w:rsidR="00C34626" w:rsidRPr="00C34626" w:rsidRDefault="00C34626" w:rsidP="00C34626">
            <w:pPr>
              <w:spacing w:after="0" w:line="240" w:lineRule="auto"/>
              <w:rPr>
                <w:rFonts w:ascii="Calibri" w:eastAsia="Times New Roman" w:hAnsi="Calibri" w:cs="Times New Roman"/>
                <w:color w:val="000000"/>
              </w:rPr>
            </w:pPr>
            <w:r>
              <w:rPr>
                <w:rFonts w:ascii="Calibri" w:eastAsia="Times New Roman" w:hAnsi="Calibri" w:cs="Times New Roman"/>
                <w:noProof/>
                <w:color w:val="000000"/>
                <w:lang w:val="en-PH" w:eastAsia="en-PH"/>
              </w:rPr>
              <w:drawing>
                <wp:anchor distT="0" distB="0" distL="114300" distR="114300" simplePos="0" relativeHeight="251657728" behindDoc="0" locked="0" layoutInCell="1" allowOverlap="1">
                  <wp:simplePos x="0" y="0"/>
                  <wp:positionH relativeFrom="column">
                    <wp:posOffset>47625</wp:posOffset>
                  </wp:positionH>
                  <wp:positionV relativeFrom="paragraph">
                    <wp:posOffset>57150</wp:posOffset>
                  </wp:positionV>
                  <wp:extent cx="4229100" cy="723900"/>
                  <wp:effectExtent l="0" t="0" r="0" b="0"/>
                  <wp:wrapNone/>
                  <wp:docPr id="5" name="Picture 4"/>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cstate="print"/>
                          <a:srcRect/>
                          <a:stretch>
                            <a:fillRect/>
                          </a:stretch>
                        </pic:blipFill>
                        <pic:spPr bwMode="auto">
                          <a:xfrm>
                            <a:off x="0" y="0"/>
                            <a:ext cx="4210049" cy="719286"/>
                          </a:xfrm>
                          <a:prstGeom prst="rect">
                            <a:avLst/>
                          </a:prstGeom>
                          <a:noFill/>
                        </pic:spPr>
                      </pic:pic>
                    </a:graphicData>
                  </a:graphic>
                </wp:anchor>
              </w:drawing>
            </w:r>
            <w:r>
              <w:rPr>
                <w:rFonts w:ascii="Calibri" w:eastAsia="Times New Roman" w:hAnsi="Calibri" w:cs="Times New Roman"/>
                <w:noProof/>
                <w:color w:val="000000"/>
                <w:lang w:val="en-PH" w:eastAsia="en-PH"/>
              </w:rPr>
              <w:drawing>
                <wp:anchor distT="0" distB="0" distL="114300" distR="114300" simplePos="0" relativeHeight="251658752" behindDoc="0" locked="0" layoutInCell="1" allowOverlap="1">
                  <wp:simplePos x="0" y="0"/>
                  <wp:positionH relativeFrom="column">
                    <wp:posOffset>85725</wp:posOffset>
                  </wp:positionH>
                  <wp:positionV relativeFrom="paragraph">
                    <wp:posOffset>819150</wp:posOffset>
                  </wp:positionV>
                  <wp:extent cx="4191000" cy="571500"/>
                  <wp:effectExtent l="0" t="0" r="0" b="0"/>
                  <wp:wrapNone/>
                  <wp:docPr id="1" name="Picture 6"/>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6" cstate="print"/>
                          <a:srcRect/>
                          <a:stretch>
                            <a:fillRect/>
                          </a:stretch>
                        </pic:blipFill>
                        <pic:spPr bwMode="auto">
                          <a:xfrm>
                            <a:off x="0" y="0"/>
                            <a:ext cx="4171949" cy="561134"/>
                          </a:xfrm>
                          <a:prstGeom prst="rect">
                            <a:avLst/>
                          </a:prstGeom>
                          <a:noFill/>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250"/>
            </w:tblGrid>
            <w:tr w:rsidR="00C34626" w:rsidRPr="00C34626">
              <w:trPr>
                <w:trHeight w:val="240"/>
                <w:tblCellSpacing w:w="0" w:type="dxa"/>
              </w:trPr>
              <w:tc>
                <w:tcPr>
                  <w:tcW w:w="1240" w:type="dxa"/>
                  <w:tcBorders>
                    <w:top w:val="nil"/>
                    <w:left w:val="single" w:sz="4" w:space="0" w:color="auto"/>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r>
          </w:tbl>
          <w:p w:rsidR="00C34626" w:rsidRPr="00C34626" w:rsidRDefault="00C34626" w:rsidP="00C34626">
            <w:pPr>
              <w:spacing w:after="0" w:line="240" w:lineRule="auto"/>
              <w:rPr>
                <w:rFonts w:ascii="Calibri" w:eastAsia="Times New Roman" w:hAnsi="Calibri" w:cs="Times New Roman"/>
                <w:color w:val="000000"/>
              </w:rPr>
            </w:pP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C34626" w:rsidRPr="00C34626" w:rsidRDefault="00C34626" w:rsidP="00C34626">
            <w:pPr>
              <w:spacing w:after="0" w:line="240" w:lineRule="auto"/>
              <w:rPr>
                <w:rFonts w:ascii="Calibri" w:eastAsia="Times New Roman" w:hAnsi="Calibri" w:cs="Times New Roman"/>
                <w:color w:val="000000"/>
              </w:rPr>
            </w:pPr>
            <w:r w:rsidRPr="00C34626">
              <w:rPr>
                <w:rFonts w:ascii="Calibri" w:eastAsia="Times New Roman" w:hAnsi="Calibri" w:cs="Times New Roman"/>
                <w:color w:val="000000"/>
              </w:rPr>
              <w:t> </w:t>
            </w: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1170"/>
        </w:trPr>
        <w:tc>
          <w:tcPr>
            <w:tcW w:w="2220" w:type="dxa"/>
            <w:tcBorders>
              <w:top w:val="nil"/>
              <w:left w:val="single" w:sz="4" w:space="0" w:color="auto"/>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1170"/>
        </w:trPr>
        <w:tc>
          <w:tcPr>
            <w:tcW w:w="2220" w:type="dxa"/>
            <w:tcBorders>
              <w:top w:val="nil"/>
              <w:left w:val="single" w:sz="4" w:space="0" w:color="auto"/>
              <w:bottom w:val="single" w:sz="4" w:space="0" w:color="auto"/>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8911" w:type="dxa"/>
            <w:gridSpan w:val="7"/>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Contract Capacity and Associated Energy shall be reduced equivalent to the reduction in the demand of affected ECs by reason of the implementation of Retail Competition and Open Access, the Renewable Energy Law, or other relevant Laws and Legal Requirements.</w:t>
            </w: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85"/>
        </w:trPr>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20.  Currency</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Price offer shall be in Philippine Peso, Php</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87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21.  Regulatory Approvals</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Power Supplier shall make the necessary adjustment in accordance with the directive of the ERC. Downward adjustment in the rates shall not be a ground for the termination of the contract and the EC should not be made to shoulder the incremental difference.</w:t>
            </w:r>
          </w:p>
        </w:tc>
        <w:tc>
          <w:tcPr>
            <w:tcW w:w="4259" w:type="dxa"/>
            <w:tcBorders>
              <w:top w:val="nil"/>
              <w:left w:val="nil"/>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70"/>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22.  Penalties</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Supplier shall be penalized with an administrative fee of P0.25/kWh on top of the replacement power cost in cases of the following events and circumstances</w:t>
            </w:r>
            <w:proofErr w:type="gramStart"/>
            <w:r w:rsidRPr="00C34626">
              <w:rPr>
                <w:rFonts w:ascii="Arial" w:eastAsia="Times New Roman" w:hAnsi="Arial" w:cs="Arial"/>
                <w:color w:val="000000"/>
                <w:sz w:val="18"/>
                <w:szCs w:val="18"/>
              </w:rPr>
              <w:t>:</w:t>
            </w:r>
            <w:proofErr w:type="gramEnd"/>
            <w:r w:rsidRPr="00C34626">
              <w:rPr>
                <w:rFonts w:ascii="Arial" w:eastAsia="Times New Roman" w:hAnsi="Arial" w:cs="Arial"/>
                <w:color w:val="000000"/>
                <w:sz w:val="18"/>
                <w:szCs w:val="18"/>
              </w:rPr>
              <w:br/>
              <w:t>• Delay in Commercial Operation Date (COD); and</w:t>
            </w:r>
            <w:r w:rsidRPr="00C34626">
              <w:rPr>
                <w:rFonts w:ascii="Arial" w:eastAsia="Times New Roman" w:hAnsi="Arial" w:cs="Arial"/>
                <w:color w:val="000000"/>
                <w:sz w:val="18"/>
                <w:szCs w:val="18"/>
              </w:rPr>
              <w:br/>
              <w:t>• Failure of delivery of power.</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7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7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7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495"/>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23.  Eligibility Requirements</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In case the required years of experience are not met, the Bidders may opt to submit detailed plan on how it intends to operate and maintain the generating facilities in accordance with the Philippine Grid and Distribution Codes, existing industry standards and applicable Philippine laws. The detailed plan must state how the bidder shall operate and maintain the generating facilities as well as the experience and technical capability of the persons, whether natural or judicial, who will operate and maintain the generating facilities. The detailed plan must contain the following</w:t>
            </w:r>
            <w:proofErr w:type="gramStart"/>
            <w:r w:rsidRPr="00C34626">
              <w:rPr>
                <w:rFonts w:ascii="Arial" w:eastAsia="Times New Roman" w:hAnsi="Arial" w:cs="Arial"/>
                <w:color w:val="000000"/>
                <w:sz w:val="18"/>
                <w:szCs w:val="18"/>
              </w:rPr>
              <w:t>:</w:t>
            </w:r>
            <w:proofErr w:type="gramEnd"/>
            <w:r w:rsidRPr="00C34626">
              <w:rPr>
                <w:rFonts w:ascii="Arial" w:eastAsia="Times New Roman" w:hAnsi="Arial" w:cs="Arial"/>
                <w:color w:val="000000"/>
                <w:sz w:val="18"/>
                <w:szCs w:val="18"/>
              </w:rPr>
              <w:br/>
              <w:t>• Executive Summary;</w:t>
            </w:r>
            <w:r w:rsidRPr="00C34626">
              <w:rPr>
                <w:rFonts w:ascii="Arial" w:eastAsia="Times New Roman" w:hAnsi="Arial" w:cs="Arial"/>
                <w:color w:val="000000"/>
                <w:sz w:val="18"/>
                <w:szCs w:val="18"/>
              </w:rPr>
              <w:br/>
              <w:t>• Description of the plan for the operation and maintenance of generating facilities;</w:t>
            </w:r>
            <w:r w:rsidRPr="00C34626">
              <w:rPr>
                <w:rFonts w:ascii="Arial" w:eastAsia="Times New Roman" w:hAnsi="Arial" w:cs="Arial"/>
                <w:color w:val="000000"/>
                <w:sz w:val="18"/>
                <w:szCs w:val="18"/>
              </w:rPr>
              <w:br/>
              <w:t>• Proposed table of organization including job descriptions, technical qualifications and experience of the management and technical team; and • Environmental and social obligations compliance programs.</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49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49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49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495"/>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24.  Ground for Termination of Contract</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Buyer/Off-taker may terminate the Agreement by written notice to the Supplier in cases of:</w:t>
            </w:r>
            <w:r w:rsidRPr="00C34626">
              <w:rPr>
                <w:rFonts w:ascii="Arial" w:eastAsia="Times New Roman" w:hAnsi="Arial" w:cs="Arial"/>
                <w:color w:val="000000"/>
                <w:sz w:val="18"/>
                <w:szCs w:val="18"/>
              </w:rPr>
              <w:br/>
              <w:t>Events of default;</w:t>
            </w:r>
            <w:r w:rsidRPr="00C34626">
              <w:rPr>
                <w:rFonts w:ascii="Arial" w:eastAsia="Times New Roman" w:hAnsi="Arial" w:cs="Arial"/>
                <w:color w:val="000000"/>
                <w:sz w:val="18"/>
                <w:szCs w:val="18"/>
              </w:rPr>
              <w:br/>
              <w:t>• Non-occurrence of Commercial Operation Date;</w:t>
            </w:r>
            <w:r w:rsidRPr="00C34626">
              <w:rPr>
                <w:rFonts w:ascii="Arial" w:eastAsia="Times New Roman" w:hAnsi="Arial" w:cs="Arial"/>
                <w:color w:val="000000"/>
                <w:sz w:val="18"/>
                <w:szCs w:val="18"/>
              </w:rPr>
              <w:br/>
              <w:t>• Expiration of cooperation period and/or Upon Mutual Agreement;</w:t>
            </w:r>
            <w:r w:rsidRPr="00C34626">
              <w:rPr>
                <w:rFonts w:ascii="Arial" w:eastAsia="Times New Roman" w:hAnsi="Arial" w:cs="Arial"/>
                <w:color w:val="000000"/>
                <w:sz w:val="18"/>
                <w:szCs w:val="18"/>
              </w:rPr>
              <w:br/>
              <w:t>• Non-fulfillment of conditions for effective date;</w:t>
            </w:r>
            <w:r w:rsidRPr="00C34626">
              <w:rPr>
                <w:rFonts w:ascii="Arial" w:eastAsia="Times New Roman" w:hAnsi="Arial" w:cs="Arial"/>
                <w:color w:val="000000"/>
                <w:sz w:val="18"/>
                <w:szCs w:val="18"/>
              </w:rPr>
              <w:br/>
              <w:t>• Events of Force Majeure; and</w:t>
            </w:r>
            <w:r w:rsidRPr="00C34626">
              <w:rPr>
                <w:rFonts w:ascii="Arial" w:eastAsia="Times New Roman" w:hAnsi="Arial" w:cs="Arial"/>
                <w:color w:val="000000"/>
                <w:sz w:val="18"/>
                <w:szCs w:val="18"/>
              </w:rPr>
              <w:br/>
              <w:t>• When the Supplier fails to supply for a period of Sixty (60) days for reason wholly attributable to its fault and/or negligence, provided that, the Supplier fails to take reasonable actions or remedies to solve its inability to deliver capacity and energy.</w:t>
            </w:r>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br/>
              <w:t>The Supplier may terminate the Agreement by written notice to the Buyer/Off-taker when the Buyer/Off-taker</w:t>
            </w:r>
            <w:proofErr w:type="gramStart"/>
            <w:r w:rsidRPr="00C34626">
              <w:rPr>
                <w:rFonts w:ascii="Arial" w:eastAsia="Times New Roman" w:hAnsi="Arial" w:cs="Arial"/>
                <w:color w:val="000000"/>
                <w:sz w:val="18"/>
                <w:szCs w:val="18"/>
              </w:rPr>
              <w:t>:</w:t>
            </w:r>
            <w:proofErr w:type="gramEnd"/>
            <w:r w:rsidRPr="00C34626">
              <w:rPr>
                <w:rFonts w:ascii="Arial" w:eastAsia="Times New Roman" w:hAnsi="Arial" w:cs="Arial"/>
                <w:color w:val="000000"/>
                <w:sz w:val="18"/>
                <w:szCs w:val="18"/>
              </w:rPr>
              <w:br/>
              <w:t>• Discontinue operations;</w:t>
            </w:r>
            <w:r w:rsidRPr="00C34626">
              <w:rPr>
                <w:rFonts w:ascii="Arial" w:eastAsia="Times New Roman" w:hAnsi="Arial" w:cs="Arial"/>
                <w:color w:val="000000"/>
                <w:sz w:val="18"/>
                <w:szCs w:val="18"/>
              </w:rPr>
              <w:br/>
              <w:t>• Declares bankruptcy; or</w:t>
            </w:r>
            <w:r w:rsidRPr="00C34626">
              <w:rPr>
                <w:rFonts w:ascii="Arial" w:eastAsia="Times New Roman" w:hAnsi="Arial" w:cs="Arial"/>
                <w:color w:val="000000"/>
                <w:sz w:val="18"/>
                <w:szCs w:val="18"/>
              </w:rPr>
              <w:br/>
              <w:t>• Any financial obligation of the Customer is not paid when due within any applicable grace period.</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30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10"/>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25.  Other terms and conditions</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The Supplier shall extend Prompt Payment Discount (PPD) based from the total billed amount (net of VAT) for the following:</w:t>
            </w:r>
            <w:r w:rsidRPr="00C34626">
              <w:rPr>
                <w:rFonts w:ascii="Arial" w:eastAsia="Times New Roman" w:hAnsi="Arial" w:cs="Arial"/>
                <w:color w:val="000000"/>
                <w:sz w:val="18"/>
                <w:szCs w:val="18"/>
              </w:rPr>
              <w:br/>
              <w:t>• 3.2%, seven (7) working days after receipt of power bill</w:t>
            </w:r>
            <w:r w:rsidRPr="00C34626">
              <w:rPr>
                <w:rFonts w:ascii="Arial" w:eastAsia="Times New Roman" w:hAnsi="Arial" w:cs="Arial"/>
                <w:color w:val="000000"/>
                <w:sz w:val="18"/>
                <w:szCs w:val="18"/>
              </w:rPr>
              <w:br/>
              <w:t>• 2.5% ten (10) working days after receipt of power bill</w:t>
            </w:r>
            <w:r w:rsidRPr="00C34626">
              <w:rPr>
                <w:rFonts w:ascii="Arial" w:eastAsia="Times New Roman" w:hAnsi="Arial" w:cs="Arial"/>
                <w:color w:val="000000"/>
                <w:sz w:val="18"/>
                <w:szCs w:val="18"/>
              </w:rPr>
              <w:br/>
            </w:r>
            <w:r w:rsidRPr="00C34626">
              <w:rPr>
                <w:rFonts w:ascii="Arial" w:eastAsia="Times New Roman" w:hAnsi="Arial" w:cs="Arial"/>
                <w:color w:val="000000"/>
                <w:sz w:val="18"/>
                <w:szCs w:val="18"/>
              </w:rPr>
              <w:br/>
              <w:t>Other discounts offer by the Supplier shall be included in the evaluation of the levelized offer.</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21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1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1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1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color w:val="000000"/>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1380"/>
        </w:trPr>
        <w:tc>
          <w:tcPr>
            <w:tcW w:w="2220" w:type="dxa"/>
            <w:vMerge w:val="restart"/>
            <w:tcBorders>
              <w:top w:val="nil"/>
              <w:left w:val="single" w:sz="4" w:space="0" w:color="auto"/>
              <w:bottom w:val="single" w:sz="4" w:space="0" w:color="auto"/>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b/>
                <w:bCs/>
                <w:color w:val="000000"/>
                <w:sz w:val="18"/>
                <w:szCs w:val="18"/>
              </w:rPr>
            </w:pPr>
            <w:r w:rsidRPr="00C34626">
              <w:rPr>
                <w:rFonts w:ascii="Arial" w:eastAsia="Times New Roman" w:hAnsi="Arial" w:cs="Arial"/>
                <w:b/>
                <w:bCs/>
                <w:color w:val="000000"/>
                <w:sz w:val="18"/>
                <w:szCs w:val="18"/>
              </w:rPr>
              <w:t>26.  Reservation Clause</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rPr>
                <w:rFonts w:ascii="Arial" w:eastAsia="Times New Roman" w:hAnsi="Arial" w:cs="Arial"/>
                <w:sz w:val="18"/>
                <w:szCs w:val="18"/>
              </w:rPr>
            </w:pPr>
            <w:r w:rsidRPr="00C34626">
              <w:rPr>
                <w:rFonts w:ascii="Arial" w:eastAsia="Times New Roman" w:hAnsi="Arial" w:cs="Arial"/>
                <w:sz w:val="18"/>
                <w:szCs w:val="18"/>
              </w:rPr>
              <w:t>In the event that the bid offer or Levelized Cost of Energy (LCOE) throughout the duration of contracted period is higher than the simulated rate impact of any of the participating coop, the TPBAC has the right to disqualify the said bid offer.</w:t>
            </w:r>
            <w:r w:rsidRPr="00C34626">
              <w:rPr>
                <w:rFonts w:ascii="Arial" w:eastAsia="Times New Roman" w:hAnsi="Arial" w:cs="Arial"/>
                <w:sz w:val="18"/>
                <w:szCs w:val="18"/>
              </w:rPr>
              <w:br/>
              <w:t>The simulated average lowest generation cost of participating coop per lot will be the basis of the reserve/cap rate that will be open during the pre-bid conference prior to the opening of technical and financial proposal.</w:t>
            </w:r>
            <w:r w:rsidRPr="00C34626">
              <w:rPr>
                <w:rFonts w:ascii="Arial" w:eastAsia="Times New Roman" w:hAnsi="Arial" w:cs="Arial"/>
                <w:sz w:val="18"/>
                <w:szCs w:val="18"/>
              </w:rPr>
              <w:br/>
              <w:t>In case of reduction of demand due to the expansion of franchise of other distribution or private utility or other circumstances that may affect the EC’s franchise and will eventually result to the transfer of customers or takeover of existing distribution assets or facilities, the contracted demand of affected</w:t>
            </w:r>
            <w:r w:rsidRPr="00C34626">
              <w:rPr>
                <w:rFonts w:ascii="Arial" w:eastAsia="Times New Roman" w:hAnsi="Arial" w:cs="Arial"/>
                <w:sz w:val="18"/>
                <w:szCs w:val="18"/>
              </w:rPr>
              <w:br/>
              <w:t>EC’s will have a provision for automatic reduction of demand equivalent to the takeover capacity.</w:t>
            </w:r>
          </w:p>
        </w:tc>
        <w:tc>
          <w:tcPr>
            <w:tcW w:w="4259" w:type="dxa"/>
            <w:vMerge w:val="restart"/>
            <w:tcBorders>
              <w:top w:val="nil"/>
              <w:left w:val="single" w:sz="4" w:space="0" w:color="auto"/>
              <w:bottom w:val="single" w:sz="4" w:space="0" w:color="auto"/>
              <w:right w:val="single" w:sz="4" w:space="0" w:color="auto"/>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b/>
                <w:bCs/>
                <w:color w:val="000000"/>
                <w:sz w:val="20"/>
                <w:szCs w:val="20"/>
              </w:rPr>
            </w:pPr>
          </w:p>
        </w:tc>
      </w:tr>
      <w:tr w:rsidR="00C34626" w:rsidRPr="00C34626" w:rsidTr="00C34626">
        <w:trPr>
          <w:trHeight w:val="1380"/>
        </w:trPr>
        <w:tc>
          <w:tcPr>
            <w:tcW w:w="2220" w:type="dxa"/>
            <w:vMerge/>
            <w:tcBorders>
              <w:top w:val="nil"/>
              <w:left w:val="single" w:sz="4" w:space="0" w:color="auto"/>
              <w:bottom w:val="single" w:sz="4" w:space="0" w:color="auto"/>
              <w:right w:val="nil"/>
            </w:tcBorders>
            <w:vAlign w:val="center"/>
            <w:hideMark/>
          </w:tcPr>
          <w:p w:rsidR="00C34626" w:rsidRPr="00C34626" w:rsidRDefault="00C34626" w:rsidP="00C34626">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sz w:val="18"/>
                <w:szCs w:val="18"/>
              </w:rPr>
            </w:pPr>
          </w:p>
        </w:tc>
        <w:tc>
          <w:tcPr>
            <w:tcW w:w="4259" w:type="dxa"/>
            <w:vMerge/>
            <w:tcBorders>
              <w:top w:val="nil"/>
              <w:left w:val="single" w:sz="4" w:space="0" w:color="auto"/>
              <w:bottom w:val="single" w:sz="4" w:space="0" w:color="auto"/>
              <w:right w:val="single" w:sz="4" w:space="0" w:color="auto"/>
            </w:tcBorders>
            <w:vAlign w:val="center"/>
            <w:hideMark/>
          </w:tcPr>
          <w:p w:rsidR="00C34626" w:rsidRPr="00C34626" w:rsidRDefault="00C34626" w:rsidP="00C34626">
            <w:pPr>
              <w:spacing w:after="0" w:line="240" w:lineRule="auto"/>
              <w:rPr>
                <w:rFonts w:ascii="Arial" w:eastAsia="Times New Roman" w:hAnsi="Arial" w:cs="Arial"/>
                <w:b/>
                <w:bCs/>
                <w:color w:val="000000"/>
                <w:sz w:val="20"/>
                <w:szCs w:val="20"/>
              </w:rPr>
            </w:pPr>
          </w:p>
        </w:tc>
      </w:tr>
      <w:tr w:rsidR="00C34626" w:rsidRPr="00C34626" w:rsidTr="00C34626">
        <w:trPr>
          <w:trHeight w:val="240"/>
        </w:trPr>
        <w:tc>
          <w:tcPr>
            <w:tcW w:w="222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4259"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r>
      <w:tr w:rsidR="00C34626" w:rsidRPr="00C34626" w:rsidTr="00C34626">
        <w:trPr>
          <w:trHeight w:val="630"/>
        </w:trPr>
        <w:tc>
          <w:tcPr>
            <w:tcW w:w="222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jc w:val="right"/>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jc w:val="center"/>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c>
          <w:tcPr>
            <w:tcW w:w="4259" w:type="dxa"/>
            <w:tcBorders>
              <w:top w:val="nil"/>
              <w:left w:val="nil"/>
              <w:bottom w:val="nil"/>
              <w:right w:val="nil"/>
            </w:tcBorders>
            <w:shd w:val="clear" w:color="000000" w:fill="FFFFFF"/>
            <w:vAlign w:val="center"/>
            <w:hideMark/>
          </w:tcPr>
          <w:p w:rsidR="00C34626" w:rsidRPr="00C34626" w:rsidRDefault="00C34626" w:rsidP="00C34626">
            <w:pPr>
              <w:spacing w:after="0" w:line="240" w:lineRule="auto"/>
              <w:rPr>
                <w:rFonts w:ascii="Arial" w:eastAsia="Times New Roman" w:hAnsi="Arial" w:cs="Arial"/>
                <w:color w:val="000000"/>
                <w:sz w:val="18"/>
                <w:szCs w:val="18"/>
              </w:rPr>
            </w:pPr>
            <w:r w:rsidRPr="00C34626">
              <w:rPr>
                <w:rFonts w:ascii="Arial" w:eastAsia="Times New Roman" w:hAnsi="Arial" w:cs="Arial"/>
                <w:color w:val="000000"/>
                <w:sz w:val="18"/>
                <w:szCs w:val="18"/>
              </w:rPr>
              <w:t> </w:t>
            </w:r>
          </w:p>
        </w:tc>
      </w:tr>
      <w:tr w:rsidR="00C34626" w:rsidRPr="00C34626" w:rsidTr="00C34626">
        <w:trPr>
          <w:trHeight w:val="300"/>
        </w:trPr>
        <w:tc>
          <w:tcPr>
            <w:tcW w:w="222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Prepared by:</w:t>
            </w:r>
          </w:p>
        </w:tc>
        <w:tc>
          <w:tcPr>
            <w:tcW w:w="1471"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4259"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Approved by:</w:t>
            </w:r>
          </w:p>
        </w:tc>
      </w:tr>
      <w:tr w:rsidR="00C34626" w:rsidRPr="00C34626" w:rsidTr="00C34626">
        <w:trPr>
          <w:trHeight w:val="375"/>
        </w:trPr>
        <w:tc>
          <w:tcPr>
            <w:tcW w:w="222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471"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4259"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 </w:t>
            </w:r>
          </w:p>
        </w:tc>
      </w:tr>
      <w:tr w:rsidR="00C34626" w:rsidRPr="00C34626" w:rsidTr="00C34626">
        <w:trPr>
          <w:trHeight w:val="300"/>
        </w:trPr>
        <w:tc>
          <w:tcPr>
            <w:tcW w:w="3691" w:type="dxa"/>
            <w:gridSpan w:val="2"/>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Mr. __________________</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 </w:t>
            </w:r>
          </w:p>
        </w:tc>
        <w:tc>
          <w:tcPr>
            <w:tcW w:w="4259"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Mr. __________________</w:t>
            </w:r>
          </w:p>
        </w:tc>
      </w:tr>
      <w:tr w:rsidR="00C34626" w:rsidRPr="00C34626" w:rsidTr="00C34626">
        <w:trPr>
          <w:trHeight w:val="300"/>
        </w:trPr>
        <w:tc>
          <w:tcPr>
            <w:tcW w:w="3691" w:type="dxa"/>
            <w:gridSpan w:val="2"/>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Authorized Representative</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color w:val="000000"/>
              </w:rPr>
            </w:pPr>
            <w:r w:rsidRPr="00C34626">
              <w:rPr>
                <w:rFonts w:ascii="Arial" w:eastAsia="Times New Roman" w:hAnsi="Arial" w:cs="Arial"/>
                <w:color w:val="000000"/>
              </w:rPr>
              <w:t> </w:t>
            </w:r>
          </w:p>
        </w:tc>
        <w:tc>
          <w:tcPr>
            <w:tcW w:w="4259" w:type="dxa"/>
            <w:tcBorders>
              <w:top w:val="nil"/>
              <w:left w:val="nil"/>
              <w:bottom w:val="nil"/>
              <w:right w:val="nil"/>
            </w:tcBorders>
            <w:shd w:val="clear" w:color="000000" w:fill="FFFFFF"/>
            <w:noWrap/>
            <w:vAlign w:val="center"/>
            <w:hideMark/>
          </w:tcPr>
          <w:p w:rsidR="00C34626" w:rsidRPr="00C34626" w:rsidRDefault="00C34626" w:rsidP="00C34626">
            <w:pPr>
              <w:spacing w:after="0" w:line="240" w:lineRule="auto"/>
              <w:rPr>
                <w:rFonts w:ascii="Arial" w:eastAsia="Times New Roman" w:hAnsi="Arial" w:cs="Arial"/>
                <w:b/>
                <w:bCs/>
                <w:color w:val="000000"/>
              </w:rPr>
            </w:pPr>
            <w:r w:rsidRPr="00C34626">
              <w:rPr>
                <w:rFonts w:ascii="Arial" w:eastAsia="Times New Roman" w:hAnsi="Arial" w:cs="Arial"/>
                <w:b/>
                <w:bCs/>
                <w:color w:val="000000"/>
              </w:rPr>
              <w:t>Position</w:t>
            </w:r>
          </w:p>
        </w:tc>
      </w:tr>
    </w:tbl>
    <w:p w:rsidR="00C86787" w:rsidRDefault="00C86787"/>
    <w:sectPr w:rsidR="00C86787" w:rsidSect="002B7380">
      <w:pgSz w:w="18722" w:h="12242" w:orient="landscape" w:code="167"/>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69"/>
    <w:rsid w:val="002B7380"/>
    <w:rsid w:val="0056735A"/>
    <w:rsid w:val="00641D79"/>
    <w:rsid w:val="008F70BD"/>
    <w:rsid w:val="00C26E17"/>
    <w:rsid w:val="00C34626"/>
    <w:rsid w:val="00C86787"/>
    <w:rsid w:val="00F34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5D6DA1-D0D4-452A-9BA1-58AF4673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7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031195">
      <w:bodyDiv w:val="1"/>
      <w:marLeft w:val="0"/>
      <w:marRight w:val="0"/>
      <w:marTop w:val="0"/>
      <w:marBottom w:val="0"/>
      <w:divBdr>
        <w:top w:val="none" w:sz="0" w:space="0" w:color="auto"/>
        <w:left w:val="none" w:sz="0" w:space="0" w:color="auto"/>
        <w:bottom w:val="none" w:sz="0" w:space="0" w:color="auto"/>
        <w:right w:val="none" w:sz="0" w:space="0" w:color="auto"/>
      </w:divBdr>
    </w:div>
    <w:div w:id="90206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 June</dc:creator>
  <cp:lastModifiedBy>Christine Joy</cp:lastModifiedBy>
  <cp:revision>2</cp:revision>
  <dcterms:created xsi:type="dcterms:W3CDTF">2022-07-01T00:49:00Z</dcterms:created>
  <dcterms:modified xsi:type="dcterms:W3CDTF">2022-07-01T00:49:00Z</dcterms:modified>
</cp:coreProperties>
</file>